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D465B" w14:textId="532EE3A5" w:rsidR="005E1468" w:rsidRDefault="002909CE" w:rsidP="005E1468">
      <w:pPr>
        <w:pStyle w:val="berschrift2"/>
      </w:pPr>
      <w:bookmarkStart w:id="0" w:name="_Hlk162517637"/>
      <w:bookmarkEnd w:id="0"/>
      <w:r>
        <w:t>Mit Innovationskraft begeistert</w:t>
      </w:r>
      <w:r w:rsidR="00F6067C">
        <w:t xml:space="preserve"> </w:t>
      </w:r>
    </w:p>
    <w:p w14:paraId="00D0CA9C" w14:textId="19EA47D2" w:rsidR="00A82224" w:rsidRDefault="003C349C" w:rsidP="00A82224">
      <w:pPr>
        <w:pStyle w:val="berschrift1"/>
      </w:pPr>
      <w:r>
        <w:t xml:space="preserve">Erfolgreiche </w:t>
      </w:r>
      <w:r w:rsidR="002909CE">
        <w:t xml:space="preserve">FENSTERBAU </w:t>
      </w:r>
      <w:r>
        <w:t xml:space="preserve">für SIEGENIA </w:t>
      </w:r>
    </w:p>
    <w:p w14:paraId="0FE1393A" w14:textId="77777777" w:rsidR="00880F9E" w:rsidRPr="00880F9E" w:rsidRDefault="00880F9E" w:rsidP="00880F9E"/>
    <w:p w14:paraId="0F7C8D42" w14:textId="060E620D" w:rsidR="00880F9E" w:rsidRPr="00142382" w:rsidRDefault="00211FF8" w:rsidP="00880F9E">
      <w:pPr>
        <w:pStyle w:val="berschrift3"/>
      </w:pPr>
      <w:r>
        <w:t>Lebhafte Gespräche, hoher Andrang an den Exponaten und begeistertes Kundenfeedback zu den neuen Raumkomfort-Innovationen – d</w:t>
      </w:r>
      <w:r w:rsidR="00880F9E">
        <w:t xml:space="preserve">ie </w:t>
      </w:r>
      <w:r>
        <w:t>SIEGENIA GRUPPE ist</w:t>
      </w:r>
      <w:r w:rsidR="00880F9E">
        <w:t xml:space="preserve"> mit </w:t>
      </w:r>
      <w:r>
        <w:t>dem Verlauf</w:t>
      </w:r>
      <w:r w:rsidR="00880F9E">
        <w:t xml:space="preserve"> der FENSTERBAU 2024</w:t>
      </w:r>
      <w:r>
        <w:t xml:space="preserve"> hochzufrieden</w:t>
      </w:r>
      <w:r w:rsidR="00880F9E">
        <w:t xml:space="preserve">. Vom 19. bis 22. März </w:t>
      </w:r>
      <w:r w:rsidR="00D12C99">
        <w:t>machte</w:t>
      </w:r>
      <w:r w:rsidR="00880F9E">
        <w:t xml:space="preserve"> das Unternehmen </w:t>
      </w:r>
      <w:r w:rsidR="00880F9E" w:rsidRPr="00142382">
        <w:t xml:space="preserve">360° Raumkomfort </w:t>
      </w:r>
      <w:r w:rsidR="00AE1BCC">
        <w:t xml:space="preserve">auf seinem Messestand </w:t>
      </w:r>
      <w:r w:rsidR="001F6F20">
        <w:t xml:space="preserve">anhand von zahlreichen Innovationen </w:t>
      </w:r>
      <w:r w:rsidR="00880F9E" w:rsidRPr="00142382">
        <w:t>erlebbar</w:t>
      </w:r>
      <w:r w:rsidR="00D12C99">
        <w:t xml:space="preserve"> und unterstrich </w:t>
      </w:r>
      <w:r w:rsidR="00880F9E" w:rsidRPr="00142382">
        <w:t xml:space="preserve">seinen Anspruch, </w:t>
      </w:r>
      <w:r w:rsidR="00D12C99" w:rsidRPr="00142382">
        <w:t xml:space="preserve">mit zukunftsweisenden Lösungen </w:t>
      </w:r>
      <w:r w:rsidR="00880F9E" w:rsidRPr="00142382">
        <w:rPr>
          <w:szCs w:val="20"/>
        </w:rPr>
        <w:t>gesunde, komfortable und smarte Räume zu schaffen.</w:t>
      </w:r>
      <w:r w:rsidR="00D12C99">
        <w:rPr>
          <w:szCs w:val="20"/>
        </w:rPr>
        <w:t xml:space="preserve"> Großen Anklang fand d</w:t>
      </w:r>
      <w:r w:rsidR="001F6F20">
        <w:rPr>
          <w:szCs w:val="20"/>
        </w:rPr>
        <w:t>ie Premiere des</w:t>
      </w:r>
      <w:r w:rsidR="00D12C99">
        <w:rPr>
          <w:szCs w:val="20"/>
        </w:rPr>
        <w:t xml:space="preserve"> smarte</w:t>
      </w:r>
      <w:r w:rsidR="001F6F20">
        <w:rPr>
          <w:szCs w:val="20"/>
        </w:rPr>
        <w:t>n</w:t>
      </w:r>
      <w:r w:rsidR="00D12C99">
        <w:rPr>
          <w:szCs w:val="20"/>
        </w:rPr>
        <w:t xml:space="preserve"> Haus</w:t>
      </w:r>
      <w:r w:rsidR="001F6F20">
        <w:rPr>
          <w:szCs w:val="20"/>
        </w:rPr>
        <w:t>es. Dort präsentierte</w:t>
      </w:r>
      <w:r w:rsidR="00D12C99">
        <w:rPr>
          <w:szCs w:val="20"/>
        </w:rPr>
        <w:t xml:space="preserve"> SIEGENIA </w:t>
      </w:r>
      <w:r w:rsidR="00D12C99">
        <w:t>live</w:t>
      </w:r>
      <w:r w:rsidR="00880F9E" w:rsidRPr="00142382">
        <w:t xml:space="preserve">, wie </w:t>
      </w:r>
      <w:r w:rsidR="001F6F20">
        <w:t xml:space="preserve">aktuelle </w:t>
      </w:r>
      <w:r w:rsidR="00880F9E" w:rsidRPr="00142382">
        <w:t xml:space="preserve">Produktinnovationen die Einrichtung intelligenter </w:t>
      </w:r>
      <w:r w:rsidR="001F6F20">
        <w:t>Raumkomfort-</w:t>
      </w:r>
      <w:r w:rsidR="00880F9E" w:rsidRPr="00142382">
        <w:t xml:space="preserve">Szenarien </w:t>
      </w:r>
      <w:r w:rsidR="001F6F20" w:rsidRPr="00142382">
        <w:t>unterstützen</w:t>
      </w:r>
      <w:r w:rsidR="00880F9E" w:rsidRPr="00142382">
        <w:t>. Unter dem Motto „SIEGENIA. 360° Zukunft.“ demonstriert</w:t>
      </w:r>
      <w:r w:rsidR="00D12C99">
        <w:t>e</w:t>
      </w:r>
      <w:r w:rsidR="00880F9E" w:rsidRPr="00142382">
        <w:t xml:space="preserve"> das Unternehmen </w:t>
      </w:r>
      <w:r w:rsidR="001F6F20">
        <w:t xml:space="preserve">zudem </w:t>
      </w:r>
      <w:r w:rsidR="00880F9E" w:rsidRPr="00142382">
        <w:t xml:space="preserve">die </w:t>
      </w:r>
      <w:r w:rsidR="001F6F20">
        <w:t>enge Ver</w:t>
      </w:r>
      <w:r w:rsidR="00AE1BCC">
        <w:t>knüpfung</w:t>
      </w:r>
      <w:r w:rsidR="001F6F20">
        <w:t xml:space="preserve"> </w:t>
      </w:r>
      <w:r w:rsidR="00880F9E" w:rsidRPr="00142382">
        <w:t>zukunftsweisende</w:t>
      </w:r>
      <w:r w:rsidR="001F6F20">
        <w:t>r</w:t>
      </w:r>
      <w:r w:rsidR="00880F9E" w:rsidRPr="00142382">
        <w:t xml:space="preserve"> Produkte und Systeme</w:t>
      </w:r>
      <w:r w:rsidR="001F6F20">
        <w:t xml:space="preserve"> mit </w:t>
      </w:r>
      <w:r w:rsidR="00880F9E" w:rsidRPr="00142382">
        <w:t>maßgeschneiderten Services und ressourcenschonenden Prozessen.</w:t>
      </w:r>
    </w:p>
    <w:p w14:paraId="64F962F7" w14:textId="77777777" w:rsidR="005E1468" w:rsidRPr="00B55070" w:rsidRDefault="005E1468" w:rsidP="005E1468"/>
    <w:p w14:paraId="20A47D85" w14:textId="3203F81E" w:rsidR="00F97B0E" w:rsidRDefault="003125ED" w:rsidP="00BD47FC">
      <w:r>
        <w:t xml:space="preserve">Während der vier Messetage erhielt die SIEGENIA GRUPPE von Kunden und Interessenten durchweg vielversprechende Rückmeldungen. </w:t>
      </w:r>
      <w:r w:rsidR="00AB6114">
        <w:t>„Als wichtiges Branchentreffen ha</w:t>
      </w:r>
      <w:r w:rsidR="00D37379">
        <w:t>ben wir</w:t>
      </w:r>
      <w:r w:rsidR="00AB6114">
        <w:t xml:space="preserve"> die FENSTERBAU </w:t>
      </w:r>
      <w:r w:rsidR="00293712">
        <w:t xml:space="preserve">zur </w:t>
      </w:r>
      <w:r w:rsidR="005F6DA2">
        <w:t>Präsentation</w:t>
      </w:r>
      <w:r w:rsidR="00293712">
        <w:t xml:space="preserve"> neue</w:t>
      </w:r>
      <w:r w:rsidR="00A55774">
        <w:t>r</w:t>
      </w:r>
      <w:r w:rsidR="00293712">
        <w:t xml:space="preserve"> Lösungen und</w:t>
      </w:r>
      <w:r w:rsidR="009854CE">
        <w:t xml:space="preserve"> </w:t>
      </w:r>
      <w:r w:rsidR="00D37379">
        <w:t>Konzepte</w:t>
      </w:r>
      <w:r w:rsidR="00293712">
        <w:t xml:space="preserve"> genutzt</w:t>
      </w:r>
      <w:r w:rsidR="00D37379">
        <w:t xml:space="preserve">, mit denen wir uns auf dem Markt differenzieren und die </w:t>
      </w:r>
      <w:r w:rsidR="00D37379" w:rsidRPr="003125ED">
        <w:t>Branche voran</w:t>
      </w:r>
      <w:r w:rsidR="00A55774" w:rsidRPr="003125ED">
        <w:t>treiben</w:t>
      </w:r>
      <w:r w:rsidR="00D37379" w:rsidRPr="003125ED">
        <w:t xml:space="preserve">. </w:t>
      </w:r>
      <w:r w:rsidR="00BE0F85" w:rsidRPr="003125ED">
        <w:t>Das haben uns unsere Kunden in zahlreichen Gesprächen bestätigt</w:t>
      </w:r>
      <w:r w:rsidR="00F97B0E">
        <w:t>.</w:t>
      </w:r>
      <w:r w:rsidR="00BE0F85" w:rsidRPr="003125ED">
        <w:t xml:space="preserve"> </w:t>
      </w:r>
      <w:r w:rsidR="005F6DA2" w:rsidRPr="003125ED">
        <w:t>U</w:t>
      </w:r>
      <w:r w:rsidR="009854CE" w:rsidRPr="003125ED">
        <w:t>nsere</w:t>
      </w:r>
      <w:r w:rsidR="00D37379" w:rsidRPr="003125ED">
        <w:t xml:space="preserve"> Innovationen </w:t>
      </w:r>
      <w:r w:rsidR="00A55774" w:rsidRPr="003125ED">
        <w:t xml:space="preserve">verschaffen </w:t>
      </w:r>
      <w:r w:rsidR="00BE0F85" w:rsidRPr="003125ED">
        <w:t>ihnen</w:t>
      </w:r>
      <w:r w:rsidR="00A55774" w:rsidRPr="003125ED">
        <w:t xml:space="preserve"> neue, in vielen Fällen einzigartige Argumente zur Positionierung auf dem Markt. </w:t>
      </w:r>
      <w:r w:rsidR="00293712" w:rsidRPr="003125ED">
        <w:t xml:space="preserve">Das </w:t>
      </w:r>
      <w:r w:rsidR="00211FF8" w:rsidRPr="003125ED">
        <w:t xml:space="preserve">rege </w:t>
      </w:r>
      <w:r w:rsidR="00293712" w:rsidRPr="003125ED">
        <w:t xml:space="preserve">Besuchsaufkommen auf </w:t>
      </w:r>
      <w:r w:rsidR="00A55774" w:rsidRPr="003125ED">
        <w:t>d</w:t>
      </w:r>
      <w:r w:rsidR="00293712" w:rsidRPr="003125ED">
        <w:t xml:space="preserve">em </w:t>
      </w:r>
      <w:r w:rsidR="00D37379" w:rsidRPr="003125ED">
        <w:t>Messestand</w:t>
      </w:r>
      <w:r w:rsidR="00293712" w:rsidRPr="003125ED">
        <w:t xml:space="preserve"> und die </w:t>
      </w:r>
      <w:r>
        <w:t>vielen</w:t>
      </w:r>
      <w:r w:rsidR="00A55774" w:rsidRPr="003125ED">
        <w:t xml:space="preserve"> </w:t>
      </w:r>
      <w:r w:rsidR="00293712" w:rsidRPr="003125ED">
        <w:t xml:space="preserve">positiven </w:t>
      </w:r>
      <w:r>
        <w:t>Reaktionen</w:t>
      </w:r>
      <w:r w:rsidR="00293712" w:rsidRPr="003125ED">
        <w:t xml:space="preserve"> </w:t>
      </w:r>
      <w:r w:rsidR="00A55774" w:rsidRPr="003125ED">
        <w:t>zeigen</w:t>
      </w:r>
      <w:r w:rsidR="00293712" w:rsidRPr="003125ED">
        <w:t>, dass wir auf dem richtigen Weg sind</w:t>
      </w:r>
      <w:r w:rsidR="008768ED" w:rsidRPr="003125ED">
        <w:t xml:space="preserve">. Für die </w:t>
      </w:r>
      <w:r w:rsidR="00446A9C" w:rsidRPr="003125ED">
        <w:t xml:space="preserve">konsequente </w:t>
      </w:r>
      <w:r w:rsidR="008768ED" w:rsidRPr="003125ED">
        <w:t xml:space="preserve">Weiterentwicklung </w:t>
      </w:r>
      <w:r w:rsidR="00446A9C" w:rsidRPr="003125ED">
        <w:t>d</w:t>
      </w:r>
      <w:r w:rsidR="008768ED" w:rsidRPr="003125ED">
        <w:t xml:space="preserve">es Raumkomfort-Gedankens </w:t>
      </w:r>
      <w:r w:rsidR="005F6DA2" w:rsidRPr="003125ED">
        <w:t xml:space="preserve">– insbesondere für </w:t>
      </w:r>
      <w:r w:rsidR="008768ED" w:rsidRPr="003125ED">
        <w:t xml:space="preserve">den </w:t>
      </w:r>
      <w:r w:rsidR="00446A9C" w:rsidRPr="003125ED">
        <w:t>gezielten</w:t>
      </w:r>
      <w:r w:rsidR="008768ED" w:rsidRPr="003125ED">
        <w:t xml:space="preserve"> Schritt von der mechanischen zur motorisch-smartifizierten Welt </w:t>
      </w:r>
      <w:r w:rsidR="005F6DA2" w:rsidRPr="003125ED">
        <w:t>– s</w:t>
      </w:r>
      <w:r w:rsidR="008768ED" w:rsidRPr="003125ED">
        <w:t xml:space="preserve">chlug uns während der Messetage </w:t>
      </w:r>
      <w:r w:rsidR="00F97B0E">
        <w:t>reichlich</w:t>
      </w:r>
      <w:r w:rsidR="008768ED" w:rsidRPr="003125ED">
        <w:t xml:space="preserve"> Anerkennung entgegen</w:t>
      </w:r>
      <w:r>
        <w:t>.</w:t>
      </w:r>
      <w:r w:rsidRPr="003125ED">
        <w:t xml:space="preserve"> </w:t>
      </w:r>
      <w:r w:rsidR="00F97B0E">
        <w:t>Damit</w:t>
      </w:r>
      <w:r w:rsidRPr="003125ED">
        <w:t xml:space="preserve"> </w:t>
      </w:r>
      <w:r>
        <w:t xml:space="preserve">tragen wir </w:t>
      </w:r>
      <w:r w:rsidR="00F97B0E">
        <w:t>zudem</w:t>
      </w:r>
      <w:r>
        <w:t xml:space="preserve"> dazu bei</w:t>
      </w:r>
      <w:r w:rsidRPr="003125ED">
        <w:t>, eine höhere Wertschätzung für die Produkte der Fensterbranche zu bewirken</w:t>
      </w:r>
      <w:r w:rsidR="00293712" w:rsidRPr="003125ED">
        <w:t xml:space="preserve">“, so das Fazit von Guy Muller, </w:t>
      </w:r>
      <w:r w:rsidR="008768ED" w:rsidRPr="003125ED">
        <w:t xml:space="preserve">Leiter des Geschäftsbereichs Markt &amp; Kunden </w:t>
      </w:r>
      <w:r w:rsidR="00293712" w:rsidRPr="003125ED">
        <w:t xml:space="preserve">bei SIEGENIA. </w:t>
      </w:r>
    </w:p>
    <w:p w14:paraId="3150924A" w14:textId="77777777" w:rsidR="00F97B0E" w:rsidRDefault="00F97B0E" w:rsidP="00BD47FC"/>
    <w:p w14:paraId="3F045D0F" w14:textId="0D77359D" w:rsidR="00BD47FC" w:rsidRDefault="00AB023D" w:rsidP="00BD47FC">
      <w:r w:rsidRPr="003125ED">
        <w:t>„</w:t>
      </w:r>
      <w:r w:rsidR="0001010C" w:rsidRPr="003125ED">
        <w:t>Überzeugt</w:t>
      </w:r>
      <w:r w:rsidR="00446A9C" w:rsidRPr="003125ED">
        <w:t xml:space="preserve"> haben wir die Standbesucher zudem durch unser einladendes Standkonzept und die offene Art, </w:t>
      </w:r>
      <w:r w:rsidRPr="003125ED">
        <w:t xml:space="preserve">in der wir während der Messetage auf sie zugegangen sind – persönlich, echt, authentisch. </w:t>
      </w:r>
      <w:r w:rsidR="00BC74DE" w:rsidRPr="003125ED">
        <w:t>Die hohe Motivation unseres</w:t>
      </w:r>
      <w:r w:rsidRPr="003125ED">
        <w:t xml:space="preserve"> Team</w:t>
      </w:r>
      <w:r w:rsidR="00BC74DE" w:rsidRPr="003125ED">
        <w:t xml:space="preserve">s </w:t>
      </w:r>
      <w:r w:rsidR="00446A9C" w:rsidRPr="003125ED">
        <w:t>war einfach großartig</w:t>
      </w:r>
      <w:r w:rsidR="003125ED">
        <w:t xml:space="preserve">. </w:t>
      </w:r>
      <w:r w:rsidR="00F97B0E">
        <w:t xml:space="preserve">Bei unseren Kunden </w:t>
      </w:r>
      <w:r w:rsidR="003125ED">
        <w:t xml:space="preserve">ist </w:t>
      </w:r>
      <w:r w:rsidR="00F97B0E">
        <w:t xml:space="preserve">das erkennbar </w:t>
      </w:r>
      <w:r w:rsidR="003125ED">
        <w:t>gut angekommen</w:t>
      </w:r>
      <w:r w:rsidR="00F97B0E">
        <w:t>.</w:t>
      </w:r>
      <w:r w:rsidRPr="003125ED">
        <w:t>“</w:t>
      </w:r>
      <w:r>
        <w:t xml:space="preserve"> </w:t>
      </w:r>
    </w:p>
    <w:p w14:paraId="47CDB706" w14:textId="6677E89D" w:rsidR="00AB023D" w:rsidRDefault="00F56407" w:rsidP="003125ED">
      <w:pPr>
        <w:pStyle w:val="berschrift4"/>
      </w:pPr>
      <w:r>
        <w:t>Smart</w:t>
      </w:r>
      <w:r w:rsidR="007B680E">
        <w:t>es Wohnen</w:t>
      </w:r>
      <w:r>
        <w:t xml:space="preserve"> im Fokus</w:t>
      </w:r>
    </w:p>
    <w:p w14:paraId="2FED29F2" w14:textId="44D70278" w:rsidR="006B2AC3" w:rsidRDefault="00CA51D3" w:rsidP="00BD47FC">
      <w:r>
        <w:t xml:space="preserve">Zu den </w:t>
      </w:r>
      <w:r w:rsidR="00446A9C">
        <w:t>Highlight</w:t>
      </w:r>
      <w:r>
        <w:t>s</w:t>
      </w:r>
      <w:r w:rsidR="00446A9C">
        <w:t xml:space="preserve"> auf dem Messestand </w:t>
      </w:r>
      <w:r>
        <w:t>zählte</w:t>
      </w:r>
      <w:r w:rsidR="00446A9C">
        <w:t xml:space="preserve"> </w:t>
      </w:r>
      <w:r>
        <w:t xml:space="preserve">insbesondere </w:t>
      </w:r>
      <w:r w:rsidR="00446A9C">
        <w:t>das smarte Haus mit</w:t>
      </w:r>
      <w:r w:rsidR="00A17FF1">
        <w:t xml:space="preserve"> der Zentralverriegelung</w:t>
      </w:r>
      <w:r w:rsidR="00446A9C">
        <w:t xml:space="preserve"> </w:t>
      </w:r>
      <w:r w:rsidR="00A17FF1">
        <w:t xml:space="preserve">von SIEGENIA und deren Einbindung in </w:t>
      </w:r>
      <w:r w:rsidR="006B2AC3">
        <w:t>intelligente Raumkomfort-</w:t>
      </w:r>
      <w:r w:rsidR="006B2AC3">
        <w:lastRenderedPageBreak/>
        <w:t>Szenarien</w:t>
      </w:r>
      <w:r w:rsidR="006B2AC3" w:rsidRPr="00BE0F85">
        <w:t xml:space="preserve">. „Von der Heizung bis zur Beleuchtung nutzen die meisten Menschen </w:t>
      </w:r>
      <w:r w:rsidR="00446A9C" w:rsidRPr="00BE0F85">
        <w:t xml:space="preserve">bereits </w:t>
      </w:r>
      <w:r w:rsidR="006B2AC3" w:rsidRPr="00BE0F85">
        <w:t>smarte Steuerung</w:t>
      </w:r>
      <w:r w:rsidR="005F6DA2" w:rsidRPr="00BE0F85">
        <w:t>en</w:t>
      </w:r>
      <w:r w:rsidR="006B2AC3" w:rsidRPr="00BE0F85">
        <w:t xml:space="preserve">. Im smarten Haus haben wir </w:t>
      </w:r>
      <w:r w:rsidR="005F6DA2" w:rsidRPr="00BE0F85">
        <w:t xml:space="preserve">jetzt </w:t>
      </w:r>
      <w:r w:rsidRPr="00BE0F85">
        <w:t>den unschätzbaren Nutzen auf</w:t>
      </w:r>
      <w:r w:rsidR="006B2AC3" w:rsidRPr="00BE0F85">
        <w:t>gezeigt, d</w:t>
      </w:r>
      <w:r w:rsidRPr="00BE0F85">
        <w:t xml:space="preserve">en die Einbeziehung der Gebäudehülle als </w:t>
      </w:r>
      <w:r w:rsidR="006974D5" w:rsidRPr="00BE0F85">
        <w:t>konsequente</w:t>
      </w:r>
      <w:r w:rsidRPr="00BE0F85">
        <w:t>r nächster</w:t>
      </w:r>
      <w:r w:rsidR="006974D5" w:rsidRPr="00BE0F85">
        <w:t xml:space="preserve"> </w:t>
      </w:r>
      <w:r w:rsidR="006B2AC3" w:rsidRPr="00BE0F85">
        <w:t xml:space="preserve">Schritt </w:t>
      </w:r>
      <w:r w:rsidRPr="00BE0F85">
        <w:t>mit sich bringt</w:t>
      </w:r>
      <w:r w:rsidR="006B2AC3" w:rsidRPr="00BE0F85">
        <w:t>“, so Guy Muller. „</w:t>
      </w:r>
      <w:r w:rsidR="005F6DA2" w:rsidRPr="00BE0F85">
        <w:t xml:space="preserve">Auf großen Anklang </w:t>
      </w:r>
      <w:r w:rsidR="00BE0F85" w:rsidRPr="00BE0F85">
        <w:t xml:space="preserve">bei Kunden und Interessenten </w:t>
      </w:r>
      <w:r w:rsidR="005F6DA2" w:rsidRPr="00BE0F85">
        <w:t>stieß die</w:t>
      </w:r>
      <w:r w:rsidR="00860731" w:rsidRPr="00BE0F85">
        <w:t xml:space="preserve"> Verwendung</w:t>
      </w:r>
      <w:r w:rsidR="005F6DA2" w:rsidRPr="00BE0F85">
        <w:t xml:space="preserve"> des </w:t>
      </w:r>
      <w:r w:rsidR="006B2AC3" w:rsidRPr="00BE0F85">
        <w:t>Matter-Protokoll</w:t>
      </w:r>
      <w:r w:rsidR="005F6DA2" w:rsidRPr="00BE0F85">
        <w:t xml:space="preserve">s, </w:t>
      </w:r>
      <w:r w:rsidRPr="00BE0F85">
        <w:t xml:space="preserve">ein </w:t>
      </w:r>
      <w:r w:rsidR="006B2AC3" w:rsidRPr="00BE0F85">
        <w:t>Game Changer in der Smartifizierung der Gebäudehülle</w:t>
      </w:r>
      <w:r w:rsidRPr="00BE0F85">
        <w:t xml:space="preserve">. </w:t>
      </w:r>
      <w:r w:rsidR="00BE0F85">
        <w:t xml:space="preserve">Die Möglichkeit zur </w:t>
      </w:r>
      <w:r w:rsidR="006B2AC3" w:rsidRPr="00BE0F85">
        <w:t>herstellerübergreifend</w:t>
      </w:r>
      <w:r w:rsidR="00BE0F85">
        <w:t>en Steuerung von Lösungen</w:t>
      </w:r>
      <w:r w:rsidR="006B2AC3" w:rsidRPr="00BE0F85">
        <w:t xml:space="preserve"> innerhalb eines einzigen Ökosystems </w:t>
      </w:r>
      <w:r w:rsidRPr="00BE0F85">
        <w:t xml:space="preserve">und </w:t>
      </w:r>
      <w:r w:rsidR="00BE0F85">
        <w:t xml:space="preserve">ihre Verbindung </w:t>
      </w:r>
      <w:r w:rsidRPr="00BE0F85">
        <w:t>in intelligenten Szenarien</w:t>
      </w:r>
      <w:r w:rsidR="00BE0F85">
        <w:t xml:space="preserve"> empfinden sie als großen Vorteil</w:t>
      </w:r>
      <w:r w:rsidRPr="00BE0F85">
        <w:t xml:space="preserve">. </w:t>
      </w:r>
      <w:r w:rsidR="00BE0F85">
        <w:t>Überzeugend sind aus ihrer Sicht auch die einfache, selbsterklärende</w:t>
      </w:r>
      <w:r w:rsidR="006B2AC3" w:rsidRPr="00BE0F85">
        <w:t xml:space="preserve"> Montage und Inbetriebnahme.</w:t>
      </w:r>
      <w:r w:rsidR="006974D5" w:rsidRPr="00BE0F85">
        <w:t>“</w:t>
      </w:r>
    </w:p>
    <w:p w14:paraId="6BB978CA" w14:textId="77777777" w:rsidR="00BF0F0B" w:rsidRDefault="00BF0F0B" w:rsidP="00BD47FC"/>
    <w:p w14:paraId="09E9ED8D" w14:textId="066C84DC" w:rsidR="00BF0F0B" w:rsidRPr="00121640" w:rsidRDefault="00BF0F0B" w:rsidP="00BD47FC">
      <w:r>
        <w:t xml:space="preserve">Auch </w:t>
      </w:r>
      <w:r w:rsidRPr="00BE524F">
        <w:t>Marco Nehren</w:t>
      </w:r>
      <w:r>
        <w:t xml:space="preserve">, Leitung Produktmanagement bei SIEGENIA, </w:t>
      </w:r>
      <w:r w:rsidR="00A17FF1">
        <w:t>bestätigt die positive Resonanz auf das smarte Haus. „</w:t>
      </w:r>
      <w:r w:rsidR="00860731" w:rsidRPr="00121640">
        <w:t xml:space="preserve">Die SIEGENIA Zentralsteuerung hat mit </w:t>
      </w:r>
      <w:r w:rsidR="00121640" w:rsidRPr="00121640">
        <w:t>ihren</w:t>
      </w:r>
      <w:r w:rsidR="00860731" w:rsidRPr="00121640">
        <w:t xml:space="preserve"> verschiedenen nutzenorientierten Szenarien</w:t>
      </w:r>
      <w:r w:rsidR="00121640" w:rsidRPr="00121640">
        <w:t xml:space="preserve"> – z. B. </w:t>
      </w:r>
      <w:r w:rsidR="00860731" w:rsidRPr="00121640">
        <w:t xml:space="preserve">Coming Home oder Zentralverriegelung </w:t>
      </w:r>
      <w:r w:rsidR="00121640" w:rsidRPr="00121640">
        <w:t>– e</w:t>
      </w:r>
      <w:r w:rsidR="00860731" w:rsidRPr="00121640">
        <w:t>indrucksvoll vermittelt, wie das R</w:t>
      </w:r>
      <w:r w:rsidR="00121640" w:rsidRPr="00121640">
        <w:t>aumkomfort-</w:t>
      </w:r>
      <w:r w:rsidR="00860731" w:rsidRPr="00121640">
        <w:t>Erlebnis einer Wohnung oder eines Hauses gesteigert werden kann. Das spiegelt auch das Feedback der Verarbeiter und Händler wider, von denen zahlreiche Interesse daran zeig</w:t>
      </w:r>
      <w:r w:rsidR="00121640">
        <w:t>t</w:t>
      </w:r>
      <w:r w:rsidR="00860731" w:rsidRPr="00121640">
        <w:t>en, das System zu vermarkten.“ Die Vorreiterposition, die SIEGENIA derzeit auf dem Markt einnimmt, kam auch bei möglichen Partnern rund um das Matter-basierte Smart Home gut an. „Wir haben während der Messe u. a. konkrete Anfragen von Rollladen- und Beschattungsspezialisten erhalten, die ihr Interesse an einer Kooperation signalisiert haben.“</w:t>
      </w:r>
    </w:p>
    <w:p w14:paraId="2D612EEC" w14:textId="7126CC97" w:rsidR="000122D2" w:rsidRDefault="00B2035B" w:rsidP="000122D2">
      <w:pPr>
        <w:pStyle w:val="berschrift4"/>
      </w:pPr>
      <w:r>
        <w:t>Gebündelte Vorteile: der DRIVE axxent LS</w:t>
      </w:r>
    </w:p>
    <w:p w14:paraId="0AF523E4" w14:textId="535C8683" w:rsidR="0001010C" w:rsidRPr="00F56407" w:rsidRDefault="0001010C" w:rsidP="00F56407">
      <w:r>
        <w:t>Begeistert fielen auch die Reaktionen der Standbesucher auf den DRIVE axxent LS</w:t>
      </w:r>
      <w:r w:rsidR="005F6DA2">
        <w:t xml:space="preserve"> aus</w:t>
      </w:r>
      <w:r>
        <w:t xml:space="preserve">, den neuen </w:t>
      </w:r>
      <w:r w:rsidR="00CD00F0">
        <w:t>verdeckt liegenden</w:t>
      </w:r>
      <w:r>
        <w:t xml:space="preserve"> Antrieb von SIEGENIA für Hebe-Schiebe-Elemente. </w:t>
      </w:r>
      <w:r w:rsidRPr="00BE524F">
        <w:t>Christoph Scheuring</w:t>
      </w:r>
      <w:r>
        <w:t xml:space="preserve">, Produktmanager PORTAL, schildert: „Während der gesamten Messe war das Exponat dicht von Interessenten umlagert.“ Der DRIVE axxent LS verbindet Design mit Schnelligkeit, einem </w:t>
      </w:r>
      <w:r w:rsidR="007B680E">
        <w:t xml:space="preserve">sehr </w:t>
      </w:r>
      <w:r>
        <w:t>leisen Betriebsgeräusch und hoher Verarbeitungsfreundlichkeit</w:t>
      </w:r>
      <w:r w:rsidR="007B680E">
        <w:t xml:space="preserve"> </w:t>
      </w:r>
      <w:r w:rsidR="007B680E" w:rsidRPr="007B680E">
        <w:t>für Fensterbauer und Montagebetriebe</w:t>
      </w:r>
      <w:r w:rsidR="00121640" w:rsidRPr="00121640">
        <w:t xml:space="preserve"> </w:t>
      </w:r>
      <w:r w:rsidR="00121640" w:rsidRPr="007B680E">
        <w:t>gleichermaßen</w:t>
      </w:r>
      <w:r w:rsidR="007B680E">
        <w:t xml:space="preserve">. </w:t>
      </w:r>
      <w:r w:rsidR="007B680E" w:rsidRPr="007B680E">
        <w:t>Er lässt sich in schlanke Profilsysteme verbauen, ohne dass Verbreiterungen oder Wandöffnungen erforderlich werden.</w:t>
      </w:r>
      <w:r w:rsidR="000C2D29">
        <w:t xml:space="preserve"> </w:t>
      </w:r>
      <w:r w:rsidR="007B680E" w:rsidRPr="007B680E">
        <w:t>Ein weiterer Vorteil ist die Akkupack-Lösung, wodurch ein Elektriker erst beim Anschluss des Bauelements an die Gebäudeelektrik erforderlich wird.</w:t>
      </w:r>
      <w:r w:rsidR="007B680E">
        <w:t xml:space="preserve"> </w:t>
      </w:r>
      <w:r w:rsidR="000C2D29">
        <w:t>„Der Mehrwert war für unsere Kunden sofort erkennbar. Die Markteinführung – so die Rückmeldung vieler – wolle man keinesfalls verpassen, da der DRIVE axxent LS auch aus Sicht von Endanwender</w:t>
      </w:r>
      <w:r w:rsidR="007C48DC">
        <w:t>n</w:t>
      </w:r>
      <w:r w:rsidR="000C2D29">
        <w:t xml:space="preserve"> eine perfekte Lösung sei.“</w:t>
      </w:r>
    </w:p>
    <w:p w14:paraId="354B03BC" w14:textId="18C13C30" w:rsidR="00AB023D" w:rsidRDefault="007867E2" w:rsidP="006974D5">
      <w:pPr>
        <w:pStyle w:val="berschrift4"/>
      </w:pPr>
      <w:r>
        <w:lastRenderedPageBreak/>
        <w:t>Leistungsstarke Innovationen für Haustüren</w:t>
      </w:r>
    </w:p>
    <w:p w14:paraId="4B6E7CA5" w14:textId="6709E79C" w:rsidR="00B2035B" w:rsidRPr="003073CE" w:rsidRDefault="00451971" w:rsidP="007867E2">
      <w:pPr>
        <w:rPr>
          <w:szCs w:val="20"/>
        </w:rPr>
      </w:pPr>
      <w:r>
        <w:t xml:space="preserve">Auf großes Interesse stießen auch die neuen Lösungen für Türsysteme von KFV. Zu den Highlights zählte hier die neue </w:t>
      </w:r>
      <w:r w:rsidRPr="00142382">
        <w:t>Automatik-Mehrfachverriegelung</w:t>
      </w:r>
      <w:r>
        <w:t xml:space="preserve"> BS 3700</w:t>
      </w:r>
      <w:r w:rsidR="003073CE">
        <w:t xml:space="preserve"> mit ihrer</w:t>
      </w:r>
      <w:r>
        <w:t xml:space="preserve"> integrierte</w:t>
      </w:r>
      <w:r w:rsidR="003073CE">
        <w:t>n</w:t>
      </w:r>
      <w:r>
        <w:t xml:space="preserve"> Selbstjustierung</w:t>
      </w:r>
      <w:r w:rsidR="003073CE">
        <w:t xml:space="preserve"> – ein </w:t>
      </w:r>
      <w:r>
        <w:t>echtes Alleinstellungsmerkmal</w:t>
      </w:r>
      <w:r w:rsidR="003073CE">
        <w:t xml:space="preserve">. Sie macht </w:t>
      </w:r>
      <w:r w:rsidR="003073CE" w:rsidRPr="00142382">
        <w:t xml:space="preserve">das lästige Nachjustieren vor Ort </w:t>
      </w:r>
      <w:r w:rsidR="003073CE">
        <w:t xml:space="preserve">über den kompletten Lebenszyklus der Tür </w:t>
      </w:r>
      <w:r w:rsidR="003073CE" w:rsidRPr="00142382">
        <w:t>hinfällig</w:t>
      </w:r>
      <w:r w:rsidR="003073CE">
        <w:t xml:space="preserve">. </w:t>
      </w:r>
      <w:r w:rsidR="0042782A">
        <w:t>Als ausgesprochen leistungsstark</w:t>
      </w:r>
      <w:r w:rsidR="003073CE">
        <w:t xml:space="preserve"> bewerteten die Standbesucher zudem die robuste Auslösetechnik und die </w:t>
      </w:r>
      <w:r w:rsidR="009D0704" w:rsidRPr="009D0704">
        <w:t>Modularität</w:t>
      </w:r>
      <w:r w:rsidR="009D0704">
        <w:t>,</w:t>
      </w:r>
      <w:r w:rsidR="009D0704" w:rsidRPr="009D0704">
        <w:t xml:space="preserve"> gepaart mit vielfältigen Upgrademöglichkeiten</w:t>
      </w:r>
      <w:r w:rsidR="003073CE">
        <w:t xml:space="preserve">. Neben dem neuen </w:t>
      </w:r>
      <w:r w:rsidR="003073CE" w:rsidRPr="00894709">
        <w:t>verdeckt liegende</w:t>
      </w:r>
      <w:r w:rsidR="00094D75">
        <w:t>n</w:t>
      </w:r>
      <w:r w:rsidR="003073CE" w:rsidRPr="00894709">
        <w:t xml:space="preserve"> Türband axxent 750 ALU</w:t>
      </w:r>
      <w:r w:rsidR="003073CE">
        <w:t xml:space="preserve"> mit seiner hohen Tragkraft von 180 kg </w:t>
      </w:r>
      <w:r w:rsidR="00094D75">
        <w:t xml:space="preserve">sorgte darüber hinaus auch der als Studie gezeigte Sensor-Türgriff für Aufsehen. </w:t>
      </w:r>
      <w:r w:rsidR="00094D75" w:rsidRPr="00BE524F">
        <w:t>Christian Vogel, Leiter</w:t>
      </w:r>
      <w:r w:rsidR="00094D75" w:rsidRPr="003073CE">
        <w:rPr>
          <w:szCs w:val="20"/>
        </w:rPr>
        <w:t xml:space="preserve"> Produktmanagement KFV</w:t>
      </w:r>
      <w:r w:rsidR="00094D75">
        <w:rPr>
          <w:szCs w:val="20"/>
        </w:rPr>
        <w:t xml:space="preserve">, erläutert: „Dieses innovative Bedienkonzept </w:t>
      </w:r>
      <w:r w:rsidR="00094D75" w:rsidRPr="00142382">
        <w:t>macht das Öffnen von Türen auf der Innenseite des Gebäudes intuitiv, komfortab</w:t>
      </w:r>
      <w:r w:rsidR="005F6DA2">
        <w:t>e</w:t>
      </w:r>
      <w:r w:rsidR="00094D75" w:rsidRPr="00142382">
        <w:t>l und schnell</w:t>
      </w:r>
      <w:r w:rsidR="00094D75">
        <w:rPr>
          <w:szCs w:val="20"/>
        </w:rPr>
        <w:t xml:space="preserve">. Die </w:t>
      </w:r>
      <w:r w:rsidR="00094D75" w:rsidRPr="00142382">
        <w:t xml:space="preserve">elegante Griffmuschel unterstützt </w:t>
      </w:r>
      <w:r w:rsidR="00094D75">
        <w:t xml:space="preserve">zudem </w:t>
      </w:r>
      <w:r w:rsidR="00094D75" w:rsidRPr="00142382">
        <w:t xml:space="preserve">die Aktivierung intelligenter Zusatzfunktionen wie </w:t>
      </w:r>
      <w:r w:rsidR="007867E2">
        <w:t xml:space="preserve">z. B. </w:t>
      </w:r>
      <w:r w:rsidR="00094D75" w:rsidRPr="00142382">
        <w:t xml:space="preserve">Tagesentriegelungen. </w:t>
      </w:r>
      <w:r w:rsidR="007867E2">
        <w:t xml:space="preserve">Begeistert </w:t>
      </w:r>
      <w:r w:rsidR="00BE0F85">
        <w:t>klangen</w:t>
      </w:r>
      <w:r w:rsidR="007867E2">
        <w:t xml:space="preserve"> auch die </w:t>
      </w:r>
      <w:r w:rsidR="00BE0F85">
        <w:t xml:space="preserve">Rückmeldungen </w:t>
      </w:r>
      <w:r w:rsidR="007867E2">
        <w:t xml:space="preserve">auf die </w:t>
      </w:r>
      <w:r w:rsidR="00094D75" w:rsidRPr="00142382">
        <w:t xml:space="preserve">intelligente </w:t>
      </w:r>
      <w:r w:rsidR="007C48DC" w:rsidRPr="00544B50">
        <w:t>Annäherungssensorik</w:t>
      </w:r>
      <w:r w:rsidR="007C48DC">
        <w:t xml:space="preserve"> des </w:t>
      </w:r>
      <w:r w:rsidR="00544B50" w:rsidRPr="007C48DC">
        <w:t>Sensor</w:t>
      </w:r>
      <w:r w:rsidR="007C48DC" w:rsidRPr="007C48DC">
        <w:t>-</w:t>
      </w:r>
      <w:r w:rsidR="00544B50" w:rsidRPr="007C48DC">
        <w:t>Türgriff</w:t>
      </w:r>
      <w:r w:rsidR="007C48DC" w:rsidRPr="007C48DC">
        <w:t>s</w:t>
      </w:r>
      <w:r w:rsidR="00094D75" w:rsidRPr="00142382">
        <w:t>, die die Öffn</w:t>
      </w:r>
      <w:r w:rsidR="007867E2">
        <w:t>ungszeiten drastisch verkürzt</w:t>
      </w:r>
      <w:r w:rsidR="00094D75" w:rsidRPr="00142382">
        <w:t>.</w:t>
      </w:r>
      <w:r w:rsidR="007867E2">
        <w:t xml:space="preserve"> Das positive Echo hat uns </w:t>
      </w:r>
      <w:r w:rsidR="008745CF" w:rsidRPr="003073CE">
        <w:rPr>
          <w:szCs w:val="20"/>
        </w:rPr>
        <w:t>bestärkt, die innovative Art der Türbedienung weiter</w:t>
      </w:r>
      <w:r w:rsidR="007867E2">
        <w:rPr>
          <w:szCs w:val="20"/>
        </w:rPr>
        <w:t>zu</w:t>
      </w:r>
      <w:r w:rsidR="008745CF" w:rsidRPr="003073CE">
        <w:rPr>
          <w:szCs w:val="20"/>
        </w:rPr>
        <w:t>verfolgen.</w:t>
      </w:r>
      <w:r w:rsidR="007867E2">
        <w:rPr>
          <w:szCs w:val="20"/>
        </w:rPr>
        <w:t>“</w:t>
      </w:r>
    </w:p>
    <w:p w14:paraId="4F1A69AE" w14:textId="591BF415" w:rsidR="00B2035B" w:rsidRDefault="001C54E2" w:rsidP="00B2035B">
      <w:pPr>
        <w:pStyle w:val="berschrift4"/>
      </w:pPr>
      <w:r>
        <w:t>Öffnungsbegrenzer</w:t>
      </w:r>
      <w:r w:rsidR="00CD00F0">
        <w:t xml:space="preserve"> – K</w:t>
      </w:r>
      <w:r>
        <w:t>omfort und Sicherheit im Wohn- und Objektbau</w:t>
      </w:r>
    </w:p>
    <w:p w14:paraId="69C3BD35" w14:textId="4E27F363" w:rsidR="00ED6483" w:rsidRDefault="00ED6483" w:rsidP="00ED6483">
      <w:pPr>
        <w:rPr>
          <w:szCs w:val="20"/>
        </w:rPr>
      </w:pPr>
      <w:r>
        <w:t xml:space="preserve">Öffnungsbegrenzer im Fokus: Auf der FENSTERBAU überzeugten die Produktgruppen TITAN und ALU mit durchdachten Lösungen, die </w:t>
      </w:r>
      <w:r w:rsidR="00700659">
        <w:t xml:space="preserve">für ein Höchstmaß an Komfort, Sicherheit und </w:t>
      </w:r>
      <w:r>
        <w:t xml:space="preserve">Langlebigkeit </w:t>
      </w:r>
      <w:r w:rsidR="00700659">
        <w:t>stehen</w:t>
      </w:r>
      <w:r>
        <w:t>.</w:t>
      </w:r>
      <w:r w:rsidR="009A3906">
        <w:t xml:space="preserve"> „Für viele Kunden war die Messe die erste Gelegenheit, sowohl die Öffnungsbegrenzer Komfort und Sicherheit als auch den neuen Öffnungsbegrenzer 90 Grad </w:t>
      </w:r>
      <w:r w:rsidR="00121640" w:rsidRPr="00121640">
        <w:t>nach der DOEB</w:t>
      </w:r>
      <w:r w:rsidR="00121640">
        <w:t>-</w:t>
      </w:r>
      <w:r w:rsidR="00121640" w:rsidRPr="00121640">
        <w:t>Richtlinie </w:t>
      </w:r>
      <w:r w:rsidR="009A3906">
        <w:t xml:space="preserve">in Anwendung zu erleben“, berichtet </w:t>
      </w:r>
      <w:r w:rsidR="009A3906" w:rsidRPr="00BE524F">
        <w:t>Alexander Maier</w:t>
      </w:r>
      <w:r w:rsidR="009A3906">
        <w:t xml:space="preserve">, Produktmanager TITAN. </w:t>
      </w:r>
      <w:r w:rsidR="000A18CD">
        <w:t xml:space="preserve">„Ihr Fazit fiel </w:t>
      </w:r>
      <w:r w:rsidR="005F6DA2">
        <w:t>rundum</w:t>
      </w:r>
      <w:r w:rsidR="000A18CD">
        <w:t xml:space="preserve"> </w:t>
      </w:r>
      <w:r w:rsidR="00700659">
        <w:t>vielversprechend</w:t>
      </w:r>
      <w:r w:rsidR="000A18CD">
        <w:t xml:space="preserve"> aus</w:t>
      </w:r>
      <w:r w:rsidR="00700659">
        <w:t xml:space="preserve">. Speziell in öffentlichen Gebäuden, aber auch im privaten Wohnungsbau, wo Fenster und Türen gerade von Kindern oft unsanft behandelt werden, bietet ihnen der Öffnungsbegrenzer 90 Grad einen hohen Zusatznutzen. </w:t>
      </w:r>
      <w:r w:rsidR="001C54E2">
        <w:t xml:space="preserve">Das gilt auch für den Öffnungsbegrenzer Sicherheit, der den Anforderungen der </w:t>
      </w:r>
      <w:r w:rsidR="001C54E2" w:rsidRPr="00211FF8">
        <w:t xml:space="preserve">DIN EN 13126-5 </w:t>
      </w:r>
      <w:r w:rsidR="00121640" w:rsidRPr="00211FF8">
        <w:t xml:space="preserve">Anwendungsklasse 5/6 </w:t>
      </w:r>
      <w:r w:rsidR="001C54E2" w:rsidRPr="00211FF8">
        <w:t>entspricht und sich damit sowohl im Eigenheim als auch im Objektbau ideal</w:t>
      </w:r>
      <w:r w:rsidR="001C54E2">
        <w:rPr>
          <w:szCs w:val="20"/>
        </w:rPr>
        <w:t xml:space="preserve"> </w:t>
      </w:r>
      <w:r w:rsidR="00121640">
        <w:rPr>
          <w:szCs w:val="20"/>
        </w:rPr>
        <w:t xml:space="preserve">als ‚einschränkender Begrenzer für die Sicherheit von Kindern‘ </w:t>
      </w:r>
      <w:r w:rsidR="001C54E2">
        <w:rPr>
          <w:szCs w:val="20"/>
        </w:rPr>
        <w:t>eignet.“</w:t>
      </w:r>
    </w:p>
    <w:p w14:paraId="4EE5564E" w14:textId="77777777" w:rsidR="00FE1388" w:rsidRDefault="00FE1388" w:rsidP="00ED6483"/>
    <w:p w14:paraId="688460DA" w14:textId="77777777" w:rsidR="00211FF8" w:rsidRDefault="00211FF8" w:rsidP="00ED6483"/>
    <w:p w14:paraId="018D19DD" w14:textId="77777777" w:rsidR="00CD00F0" w:rsidRDefault="00CD00F0" w:rsidP="00ED6483"/>
    <w:p w14:paraId="4FC7514C" w14:textId="77777777" w:rsidR="00CD00F0" w:rsidRDefault="00CD00F0" w:rsidP="00ED6483"/>
    <w:p w14:paraId="1A5C15B7" w14:textId="77777777" w:rsidR="00CD00F0" w:rsidRDefault="00CD00F0" w:rsidP="00ED6483"/>
    <w:p w14:paraId="71D394BB" w14:textId="77777777" w:rsidR="00211FF8" w:rsidRDefault="00211FF8" w:rsidP="00211FF8">
      <w:pPr>
        <w:pStyle w:val="berschrift4"/>
      </w:pPr>
      <w:r>
        <w:lastRenderedPageBreak/>
        <w:t>Bildunterschriften</w:t>
      </w:r>
    </w:p>
    <w:p w14:paraId="5CFDBF0C" w14:textId="77777777" w:rsidR="00211FF8" w:rsidRDefault="00211FF8" w:rsidP="00211FF8">
      <w:r>
        <w:t>Bildquelle: SIEGENIA</w:t>
      </w:r>
    </w:p>
    <w:p w14:paraId="0D97059B" w14:textId="77777777" w:rsidR="00211FF8" w:rsidRPr="002A7F37" w:rsidRDefault="00211FF8" w:rsidP="00211FF8"/>
    <w:p w14:paraId="5527D7A7" w14:textId="6DECA0EF" w:rsidR="00211FF8" w:rsidRPr="00D129AE" w:rsidRDefault="00211FF8" w:rsidP="00211FF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FENSTERBAU 2024_</w:t>
      </w:r>
      <w:r w:rsidR="00B412C1">
        <w:rPr>
          <w:bCs/>
          <w:i/>
        </w:rPr>
        <w:t>Messestand</w:t>
      </w:r>
      <w:r w:rsidRPr="00D129AE">
        <w:rPr>
          <w:bCs/>
          <w:i/>
        </w:rPr>
        <w:t xml:space="preserve">.jpg </w:t>
      </w:r>
    </w:p>
    <w:p w14:paraId="497295E0" w14:textId="77777777" w:rsidR="00211FF8" w:rsidRPr="00D129AE" w:rsidRDefault="00211FF8" w:rsidP="00211FF8">
      <w:r>
        <w:t xml:space="preserve">Erfolgreicher Auftritt auf der FENSTERBAU: Die SIEGENIA GRUPPE machte </w:t>
      </w:r>
      <w:r w:rsidRPr="00142382">
        <w:t xml:space="preserve">360° Raumkomfort </w:t>
      </w:r>
      <w:r>
        <w:t xml:space="preserve">anhand von zahlreichen Innovationen </w:t>
      </w:r>
      <w:r w:rsidRPr="00142382">
        <w:t>erlebbar</w:t>
      </w:r>
      <w:r>
        <w:t>.</w:t>
      </w:r>
    </w:p>
    <w:p w14:paraId="4BEC9BCC" w14:textId="77777777" w:rsidR="00211FF8" w:rsidRDefault="00211FF8" w:rsidP="00211FF8"/>
    <w:p w14:paraId="5F524850" w14:textId="1ADEF51F" w:rsidR="00211FF8" w:rsidRPr="00D129AE" w:rsidRDefault="00211FF8" w:rsidP="00211FF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7C48DC">
        <w:rPr>
          <w:bCs/>
          <w:i/>
        </w:rPr>
        <w:t xml:space="preserve"> </w:t>
      </w:r>
      <w:r>
        <w:rPr>
          <w:bCs/>
          <w:i/>
        </w:rPr>
        <w:t>FENSTERBAU 2024_</w:t>
      </w:r>
      <w:r w:rsidR="00B412C1" w:rsidRPr="00B412C1">
        <w:rPr>
          <w:bCs/>
          <w:i/>
        </w:rPr>
        <w:t>smartes Haus_vorne</w:t>
      </w:r>
      <w:r w:rsidRPr="00D129AE">
        <w:rPr>
          <w:bCs/>
          <w:i/>
        </w:rPr>
        <w:t xml:space="preserve">.jpg </w:t>
      </w:r>
    </w:p>
    <w:p w14:paraId="75EBE559" w14:textId="77777777" w:rsidR="00211FF8" w:rsidRPr="00D129AE" w:rsidRDefault="00211FF8" w:rsidP="00211FF8">
      <w:r>
        <w:t>Das smarte Haus mit der Zentralverriegelung von SIEGENIA und deren Einbindung in intelligente Raumkomfort-Szenarien</w:t>
      </w:r>
      <w:r w:rsidRPr="00BE524F">
        <w:t xml:space="preserve"> </w:t>
      </w:r>
      <w:r>
        <w:t>zählte zu den Highlights auf dem Messestand.</w:t>
      </w:r>
    </w:p>
    <w:p w14:paraId="75CA8489" w14:textId="77777777" w:rsidR="00211FF8" w:rsidRDefault="00211FF8" w:rsidP="00211FF8"/>
    <w:p w14:paraId="694CAB00" w14:textId="47510978" w:rsidR="00211FF8" w:rsidRPr="00D129AE" w:rsidRDefault="00211FF8" w:rsidP="00211FF8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7C48DC">
        <w:rPr>
          <w:bCs/>
          <w:i/>
        </w:rPr>
        <w:t xml:space="preserve"> </w:t>
      </w:r>
      <w:r>
        <w:rPr>
          <w:bCs/>
          <w:i/>
        </w:rPr>
        <w:t>FENSTERBAU 2024_</w:t>
      </w:r>
      <w:r w:rsidR="00B412C1">
        <w:rPr>
          <w:bCs/>
          <w:i/>
        </w:rPr>
        <w:t>smartes Haus_innen</w:t>
      </w:r>
      <w:r w:rsidRPr="00D129AE">
        <w:rPr>
          <w:bCs/>
          <w:i/>
        </w:rPr>
        <w:t xml:space="preserve">.jpg </w:t>
      </w:r>
    </w:p>
    <w:p w14:paraId="35BB280B" w14:textId="77777777" w:rsidR="00211FF8" w:rsidRDefault="00211FF8" w:rsidP="00211FF8">
      <w:r>
        <w:t xml:space="preserve">Großes Interesse von Verarbeitern und Händlern: Im smarten Haus zeigte SIEGENIA, wie sich Lösungen mithilfe von Matter herstellerübergreifend zu intelligenten Szenarien verbinden lassen und </w:t>
      </w:r>
      <w:r w:rsidRPr="00121640">
        <w:t>das Raumkomfort-Erlebnis steigern.</w:t>
      </w:r>
    </w:p>
    <w:p w14:paraId="67FBF8EC" w14:textId="77777777" w:rsidR="00211FF8" w:rsidRDefault="00211FF8" w:rsidP="00211FF8"/>
    <w:p w14:paraId="48896826" w14:textId="447262AB" w:rsidR="00211FF8" w:rsidRPr="00D129AE" w:rsidRDefault="00211FF8" w:rsidP="00211FF8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7C48DC">
        <w:rPr>
          <w:bCs/>
          <w:i/>
        </w:rPr>
        <w:t xml:space="preserve"> </w:t>
      </w:r>
      <w:r>
        <w:rPr>
          <w:bCs/>
          <w:i/>
        </w:rPr>
        <w:t>FENSTERBAU 2024_</w:t>
      </w:r>
      <w:r w:rsidR="00B412C1">
        <w:rPr>
          <w:bCs/>
          <w:i/>
        </w:rPr>
        <w:t>hoher Andrang</w:t>
      </w:r>
      <w:r w:rsidRPr="00D129AE">
        <w:rPr>
          <w:bCs/>
          <w:i/>
        </w:rPr>
        <w:t xml:space="preserve">.jpg </w:t>
      </w:r>
    </w:p>
    <w:p w14:paraId="3AF663FB" w14:textId="7BBE72C2" w:rsidR="00211FF8" w:rsidRDefault="00211FF8" w:rsidP="00211FF8">
      <w:r>
        <w:t xml:space="preserve">Hoher Andrang an den Exponaten: Die Innovationen von SIEGENIA verschaffen den Kunden des Unternehmens überzeugende Argumente zur Positionierung auf dem Markt. </w:t>
      </w:r>
    </w:p>
    <w:p w14:paraId="05C4D3E1" w14:textId="77777777" w:rsidR="00211FF8" w:rsidRDefault="00211FF8" w:rsidP="00211FF8"/>
    <w:p w14:paraId="06DA4D69" w14:textId="76E80C27" w:rsidR="00211FF8" w:rsidRPr="00D129AE" w:rsidRDefault="00211FF8" w:rsidP="00211FF8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7C48DC">
        <w:rPr>
          <w:bCs/>
          <w:i/>
        </w:rPr>
        <w:t xml:space="preserve"> </w:t>
      </w:r>
      <w:r>
        <w:rPr>
          <w:bCs/>
          <w:i/>
        </w:rPr>
        <w:t>FENSTERBAU 2024_</w:t>
      </w:r>
      <w:r w:rsidR="00B412C1">
        <w:rPr>
          <w:bCs/>
          <w:i/>
        </w:rPr>
        <w:t>lebhafte Gespräche</w:t>
      </w:r>
      <w:r w:rsidRPr="00D129AE">
        <w:rPr>
          <w:bCs/>
          <w:i/>
        </w:rPr>
        <w:t xml:space="preserve">.jpg </w:t>
      </w:r>
    </w:p>
    <w:p w14:paraId="15AB4590" w14:textId="77777777" w:rsidR="00211FF8" w:rsidRDefault="00211FF8" w:rsidP="00211FF8">
      <w:r>
        <w:t xml:space="preserve">Lebhafte Gespräche und ein durchweg hohes Besucheraufkommen zeugten von der positiven Resonanz auf die neuen Raumkomfort-Lösungen von SIEGENIA. </w:t>
      </w:r>
    </w:p>
    <w:p w14:paraId="66987363" w14:textId="77777777" w:rsidR="00211FF8" w:rsidRDefault="00211FF8" w:rsidP="00211FF8"/>
    <w:p w14:paraId="018F8126" w14:textId="12287A74" w:rsidR="00211FF8" w:rsidRPr="00D129AE" w:rsidRDefault="00211FF8" w:rsidP="00211FF8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V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7C48DC">
        <w:rPr>
          <w:bCs/>
          <w:i/>
        </w:rPr>
        <w:t xml:space="preserve"> </w:t>
      </w:r>
      <w:r>
        <w:rPr>
          <w:bCs/>
          <w:i/>
        </w:rPr>
        <w:t>FENSTERBAU 2024_</w:t>
      </w:r>
      <w:r w:rsidR="00B412C1">
        <w:rPr>
          <w:bCs/>
          <w:i/>
        </w:rPr>
        <w:t>world</w:t>
      </w:r>
      <w:r w:rsidRPr="00D129AE">
        <w:rPr>
          <w:bCs/>
          <w:i/>
        </w:rPr>
        <w:t xml:space="preserve">.jpg </w:t>
      </w:r>
    </w:p>
    <w:p w14:paraId="15D5FF88" w14:textId="77777777" w:rsidR="00211FF8" w:rsidRDefault="00211FF8" w:rsidP="00211FF8">
      <w:r>
        <w:t xml:space="preserve">Auch in der SIEGENIA world erfuhren die Standbesucher, </w:t>
      </w:r>
      <w:r w:rsidRPr="00142382">
        <w:t xml:space="preserve">wie </w:t>
      </w:r>
      <w:r>
        <w:t xml:space="preserve">aktuelle </w:t>
      </w:r>
      <w:r w:rsidRPr="00142382">
        <w:t xml:space="preserve">Produktinnovationen die Einrichtung intelligenter </w:t>
      </w:r>
      <w:r>
        <w:t>Raumkomfort-</w:t>
      </w:r>
      <w:r w:rsidRPr="00142382">
        <w:t>Szenarien unterstützen.</w:t>
      </w:r>
    </w:p>
    <w:p w14:paraId="60599AF2" w14:textId="77777777" w:rsidR="00CD00F0" w:rsidRDefault="00CD00F0" w:rsidP="00211FF8">
      <w:pPr>
        <w:sectPr w:rsidR="00CD00F0" w:rsidSect="00725C70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5E6374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F2D686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7C0B420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6F12E75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D901A96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C58F5C3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BD90AB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07BDB66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A9CD39C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D6EF5B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4D64D5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C62023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6FB91E7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C194547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60838018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FD6079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0EEE548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7DECD6E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97BB95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A834523" w14:textId="697FE4B0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 w:rsidR="007C48DC">
              <w:t>3</w:t>
            </w:r>
          </w:p>
          <w:p w14:paraId="68FFF819" w14:textId="4482DC3D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CD00F0">
              <w:t>930</w:t>
            </w:r>
          </w:p>
          <w:p w14:paraId="3EDDD39D" w14:textId="4E0D6F5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CD00F0">
              <w:t>7 160</w:t>
            </w:r>
            <w:r w:rsidRPr="00C33A1F">
              <w:br/>
              <w:t>(mit Leerzeichen)</w:t>
            </w:r>
          </w:p>
          <w:p w14:paraId="5F0C0387" w14:textId="77777777" w:rsidR="008D7633" w:rsidRDefault="008D7633" w:rsidP="007A5EB4">
            <w:pPr>
              <w:pStyle w:val="Formatvorlage2"/>
            </w:pPr>
          </w:p>
          <w:p w14:paraId="6AF0358C" w14:textId="76454FD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7C48DC">
              <w:t>03</w:t>
            </w:r>
            <w:r>
              <w:t>.</w:t>
            </w:r>
            <w:r w:rsidR="00486878">
              <w:t>0</w:t>
            </w:r>
            <w:r w:rsidR="007C48DC">
              <w:t>4</w:t>
            </w:r>
            <w:r>
              <w:t>.20</w:t>
            </w:r>
            <w:r w:rsidR="00122FEC">
              <w:t>2</w:t>
            </w:r>
            <w:r w:rsidR="007C48DC">
              <w:t>4</w:t>
            </w:r>
          </w:p>
          <w:p w14:paraId="1C431E1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2A300B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E3F10A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25E947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725C70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56D7" w14:textId="77777777" w:rsidR="00725C70" w:rsidRDefault="00725C70">
      <w:r>
        <w:separator/>
      </w:r>
    </w:p>
  </w:endnote>
  <w:endnote w:type="continuationSeparator" w:id="0">
    <w:p w14:paraId="5456DB61" w14:textId="77777777" w:rsidR="00725C70" w:rsidRDefault="0072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loPro-Bold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8395D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DE304" w14:textId="77777777" w:rsidR="00725C70" w:rsidRDefault="00725C70">
      <w:r>
        <w:separator/>
      </w:r>
    </w:p>
  </w:footnote>
  <w:footnote w:type="continuationSeparator" w:id="0">
    <w:p w14:paraId="6C18C421" w14:textId="77777777" w:rsidR="00725C70" w:rsidRDefault="00725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2451A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ABE4024" wp14:editId="1FAF92A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3234E"/>
    <w:multiLevelType w:val="hybridMultilevel"/>
    <w:tmpl w:val="561242E6"/>
    <w:lvl w:ilvl="0" w:tplc="C5F26B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EEEBC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C5626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7E0D6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52C78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4A4CD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0F8A9B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8241F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73ACD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A3837"/>
    <w:multiLevelType w:val="hybridMultilevel"/>
    <w:tmpl w:val="B19EA6F6"/>
    <w:lvl w:ilvl="0" w:tplc="A59016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0DCF2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AB8D7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6A453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FAC027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D2ED9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90DE22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AA1A39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15226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427C4"/>
    <w:multiLevelType w:val="hybridMultilevel"/>
    <w:tmpl w:val="8F12177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4625D"/>
    <w:multiLevelType w:val="hybridMultilevel"/>
    <w:tmpl w:val="B52C04EA"/>
    <w:lvl w:ilvl="0" w:tplc="C5FA838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9FCC8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498E2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BF28EC1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D76B5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AE8E9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96C527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D0416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DDC69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8" w15:restartNumberingAfterBreak="0">
    <w:nsid w:val="79603017"/>
    <w:multiLevelType w:val="hybridMultilevel"/>
    <w:tmpl w:val="457C2308"/>
    <w:lvl w:ilvl="0" w:tplc="42EA8D9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A1585C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8B9433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5944F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AF1EC88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034AB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D1AAE7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1228F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7B8E59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336152613">
    <w:abstractNumId w:val="3"/>
  </w:num>
  <w:num w:numId="2" w16cid:durableId="1418595171">
    <w:abstractNumId w:val="1"/>
  </w:num>
  <w:num w:numId="3" w16cid:durableId="1064911921">
    <w:abstractNumId w:val="6"/>
  </w:num>
  <w:num w:numId="4" w16cid:durableId="230700180">
    <w:abstractNumId w:val="5"/>
  </w:num>
  <w:num w:numId="5" w16cid:durableId="1452935615">
    <w:abstractNumId w:val="4"/>
  </w:num>
  <w:num w:numId="6" w16cid:durableId="2103060852">
    <w:abstractNumId w:val="8"/>
  </w:num>
  <w:num w:numId="7" w16cid:durableId="1367484014">
    <w:abstractNumId w:val="7"/>
  </w:num>
  <w:num w:numId="8" w16cid:durableId="1794472285">
    <w:abstractNumId w:val="0"/>
  </w:num>
  <w:num w:numId="9" w16cid:durableId="1738356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F3"/>
    <w:rsid w:val="000024D9"/>
    <w:rsid w:val="00003256"/>
    <w:rsid w:val="0001010C"/>
    <w:rsid w:val="000122D2"/>
    <w:rsid w:val="0001449A"/>
    <w:rsid w:val="0001520C"/>
    <w:rsid w:val="00026907"/>
    <w:rsid w:val="000313DA"/>
    <w:rsid w:val="00040EBF"/>
    <w:rsid w:val="00064165"/>
    <w:rsid w:val="000675C7"/>
    <w:rsid w:val="00090045"/>
    <w:rsid w:val="00094D75"/>
    <w:rsid w:val="00095303"/>
    <w:rsid w:val="000A18CD"/>
    <w:rsid w:val="000A1DF0"/>
    <w:rsid w:val="000A5CA3"/>
    <w:rsid w:val="000C2D29"/>
    <w:rsid w:val="000D0C02"/>
    <w:rsid w:val="000D2A27"/>
    <w:rsid w:val="000D4874"/>
    <w:rsid w:val="000E424C"/>
    <w:rsid w:val="000F2936"/>
    <w:rsid w:val="000F565C"/>
    <w:rsid w:val="000F67C4"/>
    <w:rsid w:val="0010021F"/>
    <w:rsid w:val="001025BB"/>
    <w:rsid w:val="0010792E"/>
    <w:rsid w:val="001128F1"/>
    <w:rsid w:val="00121640"/>
    <w:rsid w:val="00122F20"/>
    <w:rsid w:val="00122FEC"/>
    <w:rsid w:val="0013359D"/>
    <w:rsid w:val="00137BD1"/>
    <w:rsid w:val="001422E9"/>
    <w:rsid w:val="00145B48"/>
    <w:rsid w:val="001529E6"/>
    <w:rsid w:val="00156B0C"/>
    <w:rsid w:val="00166476"/>
    <w:rsid w:val="00166FB7"/>
    <w:rsid w:val="00170CBC"/>
    <w:rsid w:val="00171C51"/>
    <w:rsid w:val="0018496D"/>
    <w:rsid w:val="00187B12"/>
    <w:rsid w:val="001B7003"/>
    <w:rsid w:val="001C39FF"/>
    <w:rsid w:val="001C54E2"/>
    <w:rsid w:val="001D26E4"/>
    <w:rsid w:val="001E0780"/>
    <w:rsid w:val="001E1DA6"/>
    <w:rsid w:val="001F16B0"/>
    <w:rsid w:val="001F3432"/>
    <w:rsid w:val="001F6F20"/>
    <w:rsid w:val="002046D3"/>
    <w:rsid w:val="00211FF8"/>
    <w:rsid w:val="00253494"/>
    <w:rsid w:val="00254A9B"/>
    <w:rsid w:val="00255FE8"/>
    <w:rsid w:val="00261020"/>
    <w:rsid w:val="00272508"/>
    <w:rsid w:val="002769DE"/>
    <w:rsid w:val="002819C3"/>
    <w:rsid w:val="002909CE"/>
    <w:rsid w:val="00293712"/>
    <w:rsid w:val="002A202C"/>
    <w:rsid w:val="002A7F37"/>
    <w:rsid w:val="002B55C4"/>
    <w:rsid w:val="002B78F2"/>
    <w:rsid w:val="002C00E2"/>
    <w:rsid w:val="002C36FE"/>
    <w:rsid w:val="002C5A66"/>
    <w:rsid w:val="002C6D41"/>
    <w:rsid w:val="002E48B5"/>
    <w:rsid w:val="002E59D6"/>
    <w:rsid w:val="002F18BB"/>
    <w:rsid w:val="002F466F"/>
    <w:rsid w:val="003073CE"/>
    <w:rsid w:val="0031150D"/>
    <w:rsid w:val="003125E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2A4"/>
    <w:rsid w:val="003914C5"/>
    <w:rsid w:val="00392D5F"/>
    <w:rsid w:val="003A1BA5"/>
    <w:rsid w:val="003A6048"/>
    <w:rsid w:val="003C349C"/>
    <w:rsid w:val="003D61A2"/>
    <w:rsid w:val="003E0D26"/>
    <w:rsid w:val="003E378F"/>
    <w:rsid w:val="004102DC"/>
    <w:rsid w:val="00410810"/>
    <w:rsid w:val="004176D4"/>
    <w:rsid w:val="00420F79"/>
    <w:rsid w:val="0042782A"/>
    <w:rsid w:val="004333E8"/>
    <w:rsid w:val="0044187A"/>
    <w:rsid w:val="00446899"/>
    <w:rsid w:val="00446A9C"/>
    <w:rsid w:val="00447689"/>
    <w:rsid w:val="00451971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44B50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6DA2"/>
    <w:rsid w:val="005F7B2E"/>
    <w:rsid w:val="006016B0"/>
    <w:rsid w:val="0060615A"/>
    <w:rsid w:val="0061051B"/>
    <w:rsid w:val="00611204"/>
    <w:rsid w:val="0061253D"/>
    <w:rsid w:val="006158F3"/>
    <w:rsid w:val="006161A2"/>
    <w:rsid w:val="00617358"/>
    <w:rsid w:val="00617D76"/>
    <w:rsid w:val="00620DE1"/>
    <w:rsid w:val="006279BD"/>
    <w:rsid w:val="00630405"/>
    <w:rsid w:val="00634A59"/>
    <w:rsid w:val="006446D6"/>
    <w:rsid w:val="00656A7F"/>
    <w:rsid w:val="00656FEE"/>
    <w:rsid w:val="00667448"/>
    <w:rsid w:val="00685EFD"/>
    <w:rsid w:val="006866DF"/>
    <w:rsid w:val="00692205"/>
    <w:rsid w:val="006944D9"/>
    <w:rsid w:val="006974D5"/>
    <w:rsid w:val="006A2FD7"/>
    <w:rsid w:val="006A7184"/>
    <w:rsid w:val="006B2AC3"/>
    <w:rsid w:val="006B6CD1"/>
    <w:rsid w:val="006B7979"/>
    <w:rsid w:val="006C044C"/>
    <w:rsid w:val="006C6D45"/>
    <w:rsid w:val="006E5CC8"/>
    <w:rsid w:val="00700659"/>
    <w:rsid w:val="00701954"/>
    <w:rsid w:val="00703943"/>
    <w:rsid w:val="007046C4"/>
    <w:rsid w:val="007148FF"/>
    <w:rsid w:val="00716BDB"/>
    <w:rsid w:val="00717456"/>
    <w:rsid w:val="00725C70"/>
    <w:rsid w:val="00730E66"/>
    <w:rsid w:val="00737DE1"/>
    <w:rsid w:val="00751517"/>
    <w:rsid w:val="00757DDE"/>
    <w:rsid w:val="00764AAC"/>
    <w:rsid w:val="007867E2"/>
    <w:rsid w:val="007871C1"/>
    <w:rsid w:val="0079193B"/>
    <w:rsid w:val="00794A4F"/>
    <w:rsid w:val="007A5EB4"/>
    <w:rsid w:val="007A6E1C"/>
    <w:rsid w:val="007B680E"/>
    <w:rsid w:val="007C48DC"/>
    <w:rsid w:val="007C50D1"/>
    <w:rsid w:val="007C5C24"/>
    <w:rsid w:val="007D25A3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0F7A"/>
    <w:rsid w:val="008429DC"/>
    <w:rsid w:val="0085079E"/>
    <w:rsid w:val="00852D9D"/>
    <w:rsid w:val="00853823"/>
    <w:rsid w:val="00857800"/>
    <w:rsid w:val="00860731"/>
    <w:rsid w:val="0086386E"/>
    <w:rsid w:val="00871847"/>
    <w:rsid w:val="008745CF"/>
    <w:rsid w:val="008768ED"/>
    <w:rsid w:val="00880F9E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54CE"/>
    <w:rsid w:val="00985705"/>
    <w:rsid w:val="009A3906"/>
    <w:rsid w:val="009B067B"/>
    <w:rsid w:val="009B4822"/>
    <w:rsid w:val="009B5300"/>
    <w:rsid w:val="009B5DE9"/>
    <w:rsid w:val="009D0704"/>
    <w:rsid w:val="009D0CC8"/>
    <w:rsid w:val="009D6C04"/>
    <w:rsid w:val="009E28F9"/>
    <w:rsid w:val="009E6ACB"/>
    <w:rsid w:val="009E7597"/>
    <w:rsid w:val="00A12A8B"/>
    <w:rsid w:val="00A14556"/>
    <w:rsid w:val="00A16838"/>
    <w:rsid w:val="00A17D84"/>
    <w:rsid w:val="00A17FF1"/>
    <w:rsid w:val="00A22DF2"/>
    <w:rsid w:val="00A23065"/>
    <w:rsid w:val="00A2339E"/>
    <w:rsid w:val="00A24651"/>
    <w:rsid w:val="00A25EB9"/>
    <w:rsid w:val="00A32395"/>
    <w:rsid w:val="00A40AB4"/>
    <w:rsid w:val="00A55774"/>
    <w:rsid w:val="00A64B65"/>
    <w:rsid w:val="00A6502B"/>
    <w:rsid w:val="00A661F8"/>
    <w:rsid w:val="00A6672B"/>
    <w:rsid w:val="00A806FE"/>
    <w:rsid w:val="00A82224"/>
    <w:rsid w:val="00A82DDA"/>
    <w:rsid w:val="00A87496"/>
    <w:rsid w:val="00A927D0"/>
    <w:rsid w:val="00A9705C"/>
    <w:rsid w:val="00A97B0A"/>
    <w:rsid w:val="00AA224C"/>
    <w:rsid w:val="00AA6262"/>
    <w:rsid w:val="00AB023D"/>
    <w:rsid w:val="00AB1EC7"/>
    <w:rsid w:val="00AB6114"/>
    <w:rsid w:val="00AD4128"/>
    <w:rsid w:val="00AD7705"/>
    <w:rsid w:val="00AD7B27"/>
    <w:rsid w:val="00AE06DB"/>
    <w:rsid w:val="00AE1BCC"/>
    <w:rsid w:val="00AF72B9"/>
    <w:rsid w:val="00B00915"/>
    <w:rsid w:val="00B057B0"/>
    <w:rsid w:val="00B11AB7"/>
    <w:rsid w:val="00B2035B"/>
    <w:rsid w:val="00B239B4"/>
    <w:rsid w:val="00B321CC"/>
    <w:rsid w:val="00B3687B"/>
    <w:rsid w:val="00B412C1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C74DE"/>
    <w:rsid w:val="00BD47FC"/>
    <w:rsid w:val="00BD76B1"/>
    <w:rsid w:val="00BE0F85"/>
    <w:rsid w:val="00BE524F"/>
    <w:rsid w:val="00BE62B4"/>
    <w:rsid w:val="00BE69F6"/>
    <w:rsid w:val="00BF0F0B"/>
    <w:rsid w:val="00BF6132"/>
    <w:rsid w:val="00C02C5D"/>
    <w:rsid w:val="00C14A00"/>
    <w:rsid w:val="00C24B77"/>
    <w:rsid w:val="00C2717C"/>
    <w:rsid w:val="00C33A1F"/>
    <w:rsid w:val="00C5240B"/>
    <w:rsid w:val="00C52D3B"/>
    <w:rsid w:val="00C53FE3"/>
    <w:rsid w:val="00C55524"/>
    <w:rsid w:val="00C615A2"/>
    <w:rsid w:val="00C65852"/>
    <w:rsid w:val="00C72B49"/>
    <w:rsid w:val="00C77106"/>
    <w:rsid w:val="00C80399"/>
    <w:rsid w:val="00C87836"/>
    <w:rsid w:val="00C92A2E"/>
    <w:rsid w:val="00CA51D3"/>
    <w:rsid w:val="00CA66F5"/>
    <w:rsid w:val="00CA6BD1"/>
    <w:rsid w:val="00CD00F0"/>
    <w:rsid w:val="00CD2AA4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2C99"/>
    <w:rsid w:val="00D27759"/>
    <w:rsid w:val="00D313A4"/>
    <w:rsid w:val="00D32108"/>
    <w:rsid w:val="00D37379"/>
    <w:rsid w:val="00D45693"/>
    <w:rsid w:val="00D47D4E"/>
    <w:rsid w:val="00D55DC3"/>
    <w:rsid w:val="00D57457"/>
    <w:rsid w:val="00D64F60"/>
    <w:rsid w:val="00D67537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775B"/>
    <w:rsid w:val="00E954AC"/>
    <w:rsid w:val="00EA2954"/>
    <w:rsid w:val="00EB499D"/>
    <w:rsid w:val="00EB511E"/>
    <w:rsid w:val="00EB632F"/>
    <w:rsid w:val="00EC1396"/>
    <w:rsid w:val="00EC398C"/>
    <w:rsid w:val="00ED6483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6407"/>
    <w:rsid w:val="00F6067C"/>
    <w:rsid w:val="00F61445"/>
    <w:rsid w:val="00F674F3"/>
    <w:rsid w:val="00F71E39"/>
    <w:rsid w:val="00F73478"/>
    <w:rsid w:val="00F8220C"/>
    <w:rsid w:val="00F82E34"/>
    <w:rsid w:val="00F84C8D"/>
    <w:rsid w:val="00F910D1"/>
    <w:rsid w:val="00F97B0E"/>
    <w:rsid w:val="00FA07A1"/>
    <w:rsid w:val="00FA3E25"/>
    <w:rsid w:val="00FB5A18"/>
    <w:rsid w:val="00FD07B9"/>
    <w:rsid w:val="00FD182E"/>
    <w:rsid w:val="00FE1388"/>
    <w:rsid w:val="00FE1822"/>
    <w:rsid w:val="00FE1C52"/>
    <w:rsid w:val="00FE226B"/>
    <w:rsid w:val="00FE3AB9"/>
    <w:rsid w:val="00FE7D90"/>
    <w:rsid w:val="00FF051D"/>
    <w:rsid w:val="00FF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FE7BA1"/>
  <w15:docId w15:val="{9D406357-BBBB-441E-BE07-09D80051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8768ED"/>
    <w:rPr>
      <w:rFonts w:ascii="MiloPro-Bold" w:hAnsi="MiloPro-Bold" w:hint="default"/>
      <w:b/>
      <w:bCs/>
      <w:i w:val="0"/>
      <w:iCs w:val="0"/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094D75"/>
    <w:rPr>
      <w:rFonts w:ascii="Arial" w:hAnsi="Arial"/>
      <w:b/>
      <w:bCs/>
      <w:sz w:val="24"/>
      <w:szCs w:val="28"/>
    </w:rPr>
  </w:style>
  <w:style w:type="character" w:customStyle="1" w:styleId="cf01">
    <w:name w:val="cf01"/>
    <w:basedOn w:val="Absatz-Standardschriftart"/>
    <w:rsid w:val="007B680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7B68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erarbeitung">
    <w:name w:val="Revision"/>
    <w:hidden/>
    <w:uiPriority w:val="99"/>
    <w:semiHidden/>
    <w:rsid w:val="00C80399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5</Pages>
  <Words>1250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9114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2024-04-03T09:23:00Z</dcterms:created>
  <dcterms:modified xsi:type="dcterms:W3CDTF">2024-04-03T09:55:00Z</dcterms:modified>
</cp:coreProperties>
</file>